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780"/>
      </w:tblGrid>
      <w:tr w:rsidR="00427195" w14:paraId="60CBF54B" w14:textId="77777777">
        <w:tc>
          <w:tcPr>
            <w:tcW w:w="15453" w:type="dxa"/>
          </w:tcPr>
          <w:p w14:paraId="6BCADEA3" w14:textId="77777777" w:rsidR="00427195" w:rsidRPr="00A7402B" w:rsidRDefault="00427195">
            <w:pPr>
              <w:pStyle w:val="Titel"/>
              <w:rPr>
                <w:rFonts w:cstheme="minorHAnsi"/>
                <w:sz w:val="22"/>
                <w:szCs w:val="22"/>
                <w:lang w:val="pt-BR"/>
              </w:rPr>
            </w:pPr>
            <w:bookmarkStart w:id="0" w:name="bmTitel" w:colFirst="0" w:colLast="0"/>
          </w:p>
        </w:tc>
      </w:tr>
      <w:tr w:rsidR="00427195" w14:paraId="69AB62B5" w14:textId="77777777">
        <w:tc>
          <w:tcPr>
            <w:tcW w:w="15453" w:type="dxa"/>
          </w:tcPr>
          <w:p w14:paraId="735D4076" w14:textId="77777777" w:rsidR="00A7402B" w:rsidRPr="00195046" w:rsidRDefault="00A7402B" w:rsidP="00A7402B">
            <w:pPr>
              <w:rPr>
                <w:b/>
                <w:bCs/>
                <w:i/>
                <w:iCs/>
              </w:rPr>
            </w:pPr>
            <w:bookmarkStart w:id="1" w:name="bmOndertitel" w:colFirst="0" w:colLast="0"/>
            <w:bookmarkEnd w:id="0"/>
            <w:r>
              <w:rPr>
                <w:b/>
                <w:i/>
              </w:rPr>
              <w:t xml:space="preserve">Further instructions for NBA members on carrying out management verifications in respect of Interreg programmes (2021-2027) </w:t>
            </w:r>
          </w:p>
          <w:p w14:paraId="5B7ED392" w14:textId="77777777" w:rsidR="00A7402B" w:rsidRDefault="00A7402B" w:rsidP="00A7402B">
            <w:r>
              <w:t xml:space="preserve">Article 74, paragraph 1, opening words and (a) of Regulation </w:t>
            </w:r>
            <w:bookmarkStart w:id="2" w:name="_Hlk163563360"/>
            <w:r>
              <w:t xml:space="preserve">(EU) 2021/1060 </w:t>
            </w:r>
            <w:bookmarkEnd w:id="2"/>
            <w:r>
              <w:t>provides:</w:t>
            </w:r>
          </w:p>
          <w:p w14:paraId="2B8766AD" w14:textId="77777777" w:rsidR="00A7402B" w:rsidRDefault="00A7402B" w:rsidP="00A7402B">
            <w:r>
              <w:t>The managing authority shall:</w:t>
            </w:r>
          </w:p>
          <w:p w14:paraId="047ABE23" w14:textId="77777777" w:rsidR="00A7402B" w:rsidRDefault="00A7402B" w:rsidP="00A7402B">
            <w:pPr>
              <w:ind w:left="284" w:hanging="284"/>
            </w:pPr>
            <w:r>
              <w:t xml:space="preserve">(a) carry out management verifications to verify that the co-financed products and services have been delivered, that the operation complies with applicable law, the programme and the conditions for support of the operation, and: </w:t>
            </w:r>
          </w:p>
          <w:p w14:paraId="73DCFC89" w14:textId="77777777" w:rsidR="00A7402B" w:rsidRDefault="00A7402B" w:rsidP="00A7402B">
            <w:pPr>
              <w:ind w:left="567" w:hanging="283"/>
            </w:pPr>
            <w:r>
              <w:t>(</w:t>
            </w:r>
            <w:proofErr w:type="spellStart"/>
            <w:r>
              <w:t>i</w:t>
            </w:r>
            <w:proofErr w:type="spellEnd"/>
            <w:r>
              <w:t>) where costs are to be reimbursed pursuant to point (a) of Article 53(1), that the amount of expenditure claimed by the beneficiaries in relation to these costs has been paid and that beneficiaries maintain separate accounting records or use appropriate accounting codes for all transactions relating to the operation;</w:t>
            </w:r>
          </w:p>
          <w:p w14:paraId="7FD0F9F8" w14:textId="77777777" w:rsidR="00A7402B" w:rsidRDefault="00A7402B" w:rsidP="00A7402B">
            <w:pPr>
              <w:ind w:left="567" w:hanging="283"/>
            </w:pPr>
            <w:r>
              <w:t>(ii) where costs are to be reimbursed pursuant to points (b), (c) and (d) of Article 53(1), that the conditions for reimbursement of expenditure to the beneficiary have been met’.</w:t>
            </w:r>
          </w:p>
          <w:p w14:paraId="0F129602" w14:textId="77777777" w:rsidR="00A7402B" w:rsidRDefault="00A7402B" w:rsidP="00A7402B">
            <w:r>
              <w:t xml:space="preserve">Article 46, paragraphs 3 to 9 of Regulation </w:t>
            </w:r>
            <w:bookmarkStart w:id="3" w:name="_Hlk163564162"/>
            <w:r>
              <w:t xml:space="preserve">(EU) 2021/1059 </w:t>
            </w:r>
            <w:bookmarkEnd w:id="3"/>
            <w:r>
              <w:t xml:space="preserve">expand on this article specifically in relation to Interreg programmes. For example, a member state can approve a person (‘the controller’) who is responsible for carrying out management verifications. </w:t>
            </w:r>
          </w:p>
          <w:p w14:paraId="57118864" w14:textId="77777777" w:rsidR="00A7402B" w:rsidRDefault="00A7402B" w:rsidP="00A7402B">
            <w:r>
              <w:t>On the basis of Article 46, paragraph 9, opening words and (a) of Regulation (EU) 2021/1059, a project beneficiary may engage an accountant belonging to the Royal Netherlands Institute of Chartered Accountants (</w:t>
            </w:r>
            <w:proofErr w:type="spellStart"/>
            <w:r>
              <w:rPr>
                <w:i/>
                <w:iCs/>
              </w:rPr>
              <w:t>Nederlandse</w:t>
            </w:r>
            <w:proofErr w:type="spellEnd"/>
            <w:r>
              <w:rPr>
                <w:i/>
                <w:iCs/>
              </w:rPr>
              <w:t xml:space="preserve"> </w:t>
            </w:r>
            <w:proofErr w:type="spellStart"/>
            <w:r>
              <w:rPr>
                <w:i/>
                <w:iCs/>
              </w:rPr>
              <w:t>Beroepsorganisatie</w:t>
            </w:r>
            <w:proofErr w:type="spellEnd"/>
            <w:r>
              <w:rPr>
                <w:i/>
                <w:iCs/>
              </w:rPr>
              <w:t xml:space="preserve"> van Accountants</w:t>
            </w:r>
            <w:r>
              <w:t>; NBA) to carry out management verifications of expenditure to be claimed. Further to the foregoing, I would like to clarify the following:</w:t>
            </w:r>
          </w:p>
          <w:p w14:paraId="56AA50F9" w14:textId="77777777" w:rsidR="00A7402B" w:rsidRDefault="00A7402B" w:rsidP="00A7402B">
            <w:pPr>
              <w:spacing w:after="0"/>
            </w:pPr>
            <w:r>
              <w:rPr>
                <w:b/>
                <w:i/>
              </w:rPr>
              <w:t>Nature of the engagement</w:t>
            </w:r>
          </w:p>
          <w:p w14:paraId="5EF148D5" w14:textId="77777777" w:rsidR="00A7402B" w:rsidRDefault="00A7402B" w:rsidP="00A7402B">
            <w:r>
              <w:t>The engagement to carry out management verifications is awarded pursuant to Article 46, paragraph 9, opening words and (a) of Regulation (EU) 2021/1059.</w:t>
            </w:r>
          </w:p>
          <w:p w14:paraId="6983EE31" w14:textId="77777777" w:rsidR="00A7402B" w:rsidRPr="00B6154A" w:rsidRDefault="00A7402B" w:rsidP="00A7402B">
            <w:r>
              <w:t>It concerns the verification of the expenditure to be claimed by the beneficiary, which involves checking the eligibility of this expenditure against the standards framework indicated by the Interreg programme.</w:t>
            </w:r>
          </w:p>
          <w:p w14:paraId="0555AD57" w14:textId="77777777" w:rsidR="00A7402B" w:rsidRDefault="00A7402B" w:rsidP="00A7402B">
            <w:r>
              <w:t xml:space="preserve">The verification engagement is subject to the NBA’s </w:t>
            </w:r>
            <w:bookmarkStart w:id="4" w:name="_Hlk160639532"/>
            <w:r>
              <w:t>Rules on Professional Conduct and Practice for Accountants (</w:t>
            </w:r>
            <w:proofErr w:type="spellStart"/>
            <w:r>
              <w:rPr>
                <w:i/>
                <w:iCs/>
              </w:rPr>
              <w:t>Verordening</w:t>
            </w:r>
            <w:proofErr w:type="spellEnd"/>
            <w:r>
              <w:rPr>
                <w:i/>
                <w:iCs/>
              </w:rPr>
              <w:t xml:space="preserve"> </w:t>
            </w:r>
            <w:proofErr w:type="spellStart"/>
            <w:r>
              <w:rPr>
                <w:i/>
                <w:iCs/>
              </w:rPr>
              <w:t>gedrags</w:t>
            </w:r>
            <w:proofErr w:type="spellEnd"/>
            <w:r>
              <w:rPr>
                <w:i/>
                <w:iCs/>
              </w:rPr>
              <w:t xml:space="preserve">- </w:t>
            </w:r>
            <w:proofErr w:type="spellStart"/>
            <w:r>
              <w:rPr>
                <w:i/>
                <w:iCs/>
              </w:rPr>
              <w:t>en</w:t>
            </w:r>
            <w:proofErr w:type="spellEnd"/>
            <w:r>
              <w:rPr>
                <w:i/>
                <w:iCs/>
              </w:rPr>
              <w:t xml:space="preserve"> </w:t>
            </w:r>
            <w:proofErr w:type="spellStart"/>
            <w:r>
              <w:rPr>
                <w:i/>
                <w:iCs/>
              </w:rPr>
              <w:t>beroepsregels</w:t>
            </w:r>
            <w:proofErr w:type="spellEnd"/>
            <w:r>
              <w:rPr>
                <w:i/>
                <w:iCs/>
              </w:rPr>
              <w:t xml:space="preserve"> accountants</w:t>
            </w:r>
            <w:r>
              <w:t>; VGBA</w:t>
            </w:r>
            <w:bookmarkEnd w:id="4"/>
            <w:r>
              <w:t xml:space="preserve">). </w:t>
            </w:r>
            <w:bookmarkStart w:id="5" w:name="_Hlk160637579"/>
            <w:r>
              <w:t>The NBA’s auditing standards (</w:t>
            </w:r>
            <w:proofErr w:type="spellStart"/>
            <w:r>
              <w:rPr>
                <w:i/>
                <w:iCs/>
              </w:rPr>
              <w:t>Nadere</w:t>
            </w:r>
            <w:proofErr w:type="spellEnd"/>
            <w:r>
              <w:rPr>
                <w:i/>
                <w:iCs/>
              </w:rPr>
              <w:t xml:space="preserve"> </w:t>
            </w:r>
            <w:proofErr w:type="spellStart"/>
            <w:r>
              <w:rPr>
                <w:i/>
                <w:iCs/>
              </w:rPr>
              <w:t>voorschriften</w:t>
            </w:r>
            <w:proofErr w:type="spellEnd"/>
            <w:r>
              <w:rPr>
                <w:i/>
                <w:iCs/>
              </w:rPr>
              <w:t xml:space="preserve"> </w:t>
            </w:r>
            <w:proofErr w:type="spellStart"/>
            <w:r>
              <w:rPr>
                <w:i/>
                <w:iCs/>
              </w:rPr>
              <w:t>controle</w:t>
            </w:r>
            <w:proofErr w:type="spellEnd"/>
            <w:r>
              <w:rPr>
                <w:i/>
                <w:iCs/>
              </w:rPr>
              <w:t xml:space="preserve"> </w:t>
            </w:r>
            <w:proofErr w:type="spellStart"/>
            <w:r>
              <w:rPr>
                <w:i/>
                <w:iCs/>
              </w:rPr>
              <w:t>en</w:t>
            </w:r>
            <w:proofErr w:type="spellEnd"/>
            <w:r>
              <w:rPr>
                <w:i/>
                <w:iCs/>
              </w:rPr>
              <w:t xml:space="preserve"> </w:t>
            </w:r>
            <w:proofErr w:type="spellStart"/>
            <w:r>
              <w:rPr>
                <w:i/>
                <w:iCs/>
              </w:rPr>
              <w:t>overige</w:t>
            </w:r>
            <w:proofErr w:type="spellEnd"/>
            <w:r>
              <w:rPr>
                <w:i/>
                <w:iCs/>
              </w:rPr>
              <w:t xml:space="preserve"> </w:t>
            </w:r>
            <w:proofErr w:type="spellStart"/>
            <w:r>
              <w:rPr>
                <w:i/>
                <w:iCs/>
              </w:rPr>
              <w:t>standaarden</w:t>
            </w:r>
            <w:proofErr w:type="spellEnd"/>
            <w:r>
              <w:t xml:space="preserve">; NVCOS) </w:t>
            </w:r>
            <w:bookmarkEnd w:id="5"/>
            <w:r>
              <w:t xml:space="preserve">do not apply to this verification engagement and summary reports further to this verification engagement because the cases in question do not involve the performance of an audit, review or other assurance engagement or an assurance-related engagement within the meaning of these standards, nor is such considered necessary by the managing authority, the audit authority or audit bodies of the European Commission. These activities can </w:t>
            </w:r>
            <w:r>
              <w:lastRenderedPageBreak/>
              <w:t>also be performed by non-accountants. (This follows from Article 46, paragraph 9, opening words and (b) to (d) of Regulation (EU) 2021/1059).</w:t>
            </w:r>
          </w:p>
          <w:p w14:paraId="42E7866C" w14:textId="77777777" w:rsidR="00A7402B" w:rsidRPr="000806F8" w:rsidRDefault="00A7402B" w:rsidP="00A7402B">
            <w:pPr>
              <w:spacing w:after="0"/>
              <w:rPr>
                <w:b/>
                <w:bCs/>
                <w:i/>
                <w:iCs/>
              </w:rPr>
            </w:pPr>
            <w:r>
              <w:rPr>
                <w:b/>
                <w:i/>
              </w:rPr>
              <w:t>The standards framework</w:t>
            </w:r>
          </w:p>
          <w:p w14:paraId="471CB054" w14:textId="77777777" w:rsidR="00A7402B" w:rsidRDefault="00A7402B" w:rsidP="00A7402B">
            <w:r>
              <w:t>The standards framework for the Interreg programme consists of:</w:t>
            </w:r>
          </w:p>
          <w:p w14:paraId="32A57137" w14:textId="77777777" w:rsidR="00A7402B" w:rsidRPr="000806F8" w:rsidRDefault="00A7402B" w:rsidP="00A7402B">
            <w:pPr>
              <w:pStyle w:val="Lijstalinea"/>
              <w:numPr>
                <w:ilvl w:val="0"/>
                <w:numId w:val="17"/>
              </w:numPr>
            </w:pPr>
            <w:r>
              <w:t>the approved project application</w:t>
            </w:r>
          </w:p>
          <w:p w14:paraId="0FF517A3" w14:textId="77777777" w:rsidR="00A7402B" w:rsidRPr="000806F8" w:rsidRDefault="00A7402B" w:rsidP="00A7402B">
            <w:pPr>
              <w:pStyle w:val="Lijstalinea"/>
              <w:numPr>
                <w:ilvl w:val="0"/>
                <w:numId w:val="17"/>
              </w:numPr>
            </w:pPr>
            <w:r>
              <w:t>the project decision</w:t>
            </w:r>
          </w:p>
          <w:p w14:paraId="489874B9" w14:textId="77777777" w:rsidR="00A7402B" w:rsidRPr="000806F8" w:rsidRDefault="00A7402B" w:rsidP="00A7402B">
            <w:pPr>
              <w:pStyle w:val="Lijstalinea"/>
              <w:numPr>
                <w:ilvl w:val="0"/>
                <w:numId w:val="17"/>
              </w:numPr>
            </w:pPr>
            <w:r>
              <w:t>the partnership agreement</w:t>
            </w:r>
          </w:p>
          <w:p w14:paraId="1BC2B301" w14:textId="77777777" w:rsidR="00A7402B" w:rsidRPr="000806F8" w:rsidRDefault="00A7402B" w:rsidP="00A7402B">
            <w:pPr>
              <w:pStyle w:val="Lijstalinea"/>
              <w:numPr>
                <w:ilvl w:val="0"/>
                <w:numId w:val="17"/>
              </w:numPr>
            </w:pPr>
            <w:r>
              <w:t>Regulation (EU) 2021/1058 (ERDF)</w:t>
            </w:r>
          </w:p>
          <w:p w14:paraId="1759E005" w14:textId="77777777" w:rsidR="00A7402B" w:rsidRPr="00E97BB8" w:rsidRDefault="00A7402B" w:rsidP="00A7402B">
            <w:pPr>
              <w:pStyle w:val="Lijstalinea"/>
              <w:numPr>
                <w:ilvl w:val="0"/>
                <w:numId w:val="17"/>
              </w:numPr>
            </w:pPr>
            <w:r>
              <w:t>Regulation (EU) 2021/1059 (Interreg)</w:t>
            </w:r>
          </w:p>
          <w:p w14:paraId="6DF3CB33" w14:textId="77777777" w:rsidR="00A7402B" w:rsidRPr="00E97BB8" w:rsidRDefault="00A7402B" w:rsidP="00A7402B">
            <w:pPr>
              <w:pStyle w:val="Lijstalinea"/>
              <w:numPr>
                <w:ilvl w:val="0"/>
                <w:numId w:val="17"/>
              </w:numPr>
            </w:pPr>
            <w:r>
              <w:t>Regulation (EU) 2021/1060 (CPR)</w:t>
            </w:r>
          </w:p>
          <w:p w14:paraId="3CC743E3" w14:textId="77777777" w:rsidR="00A7402B" w:rsidRPr="00076382" w:rsidRDefault="00A7402B" w:rsidP="00A7402B">
            <w:pPr>
              <w:pStyle w:val="Lijstalinea"/>
              <w:numPr>
                <w:ilvl w:val="0"/>
                <w:numId w:val="17"/>
              </w:numPr>
            </w:pPr>
            <w:r>
              <w:t xml:space="preserve">the Operational Programme approved by the European Commission </w:t>
            </w:r>
          </w:p>
          <w:p w14:paraId="438425B8" w14:textId="77777777" w:rsidR="00A7402B" w:rsidRPr="00EF5E42" w:rsidRDefault="00A7402B" w:rsidP="00A7402B">
            <w:pPr>
              <w:pStyle w:val="Lijstalinea"/>
              <w:numPr>
                <w:ilvl w:val="0"/>
                <w:numId w:val="17"/>
              </w:numPr>
            </w:pPr>
            <w:r>
              <w:t>the eligibility requirements issued by the Interreg programme, laid down in the programme manual, reference documents or fact sheets</w:t>
            </w:r>
          </w:p>
          <w:p w14:paraId="3FA7DDE8" w14:textId="77777777" w:rsidR="00A7402B" w:rsidRDefault="00A7402B" w:rsidP="00A7402B">
            <w:pPr>
              <w:spacing w:after="0"/>
              <w:rPr>
                <w:b/>
                <w:bCs/>
                <w:i/>
                <w:iCs/>
              </w:rPr>
            </w:pPr>
          </w:p>
          <w:p w14:paraId="25F8F3DC" w14:textId="77777777" w:rsidR="00A7402B" w:rsidRDefault="00A7402B" w:rsidP="00A7402B">
            <w:pPr>
              <w:spacing w:after="0"/>
              <w:rPr>
                <w:b/>
                <w:bCs/>
                <w:i/>
                <w:iCs/>
              </w:rPr>
            </w:pPr>
            <w:r>
              <w:rPr>
                <w:b/>
                <w:i/>
              </w:rPr>
              <w:t>Activities and scope</w:t>
            </w:r>
          </w:p>
          <w:p w14:paraId="5AB00BF2" w14:textId="77777777" w:rsidR="00A7402B" w:rsidRDefault="00A7402B" w:rsidP="00A7402B">
            <w:pPr>
              <w:spacing w:after="0"/>
            </w:pPr>
            <w:r>
              <w:t>The management verifications are carried out with a view to informing the project partner and the managing authority of errors that have been identified as well as conclusions, recommendations and follow-up measures. The management verifications relate solely to expenditure included in the partner report and do not serve to confirm other reports, statements or records of the entity for which the management verifications have been carried out.</w:t>
            </w:r>
          </w:p>
          <w:p w14:paraId="2EC738A1" w14:textId="77777777" w:rsidR="00A7402B" w:rsidRDefault="00A7402B" w:rsidP="00A7402B">
            <w:pPr>
              <w:spacing w:after="0"/>
            </w:pPr>
          </w:p>
          <w:p w14:paraId="2BD439AD" w14:textId="77777777" w:rsidR="00A7402B" w:rsidRDefault="00A7402B" w:rsidP="00A7402B">
            <w:pPr>
              <w:spacing w:after="0"/>
              <w:rPr>
                <w:b/>
                <w:bCs/>
                <w:i/>
                <w:iCs/>
              </w:rPr>
            </w:pPr>
            <w:r>
              <w:rPr>
                <w:b/>
                <w:i/>
              </w:rPr>
              <w:t>Reporting</w:t>
            </w:r>
          </w:p>
          <w:p w14:paraId="07B57CBD" w14:textId="374BAD0F" w:rsidR="00A7402B" w:rsidRDefault="00A7402B" w:rsidP="00A7402B">
            <w:pPr>
              <w:spacing w:after="0"/>
            </w:pPr>
            <w:r>
              <w:t xml:space="preserve">The results of the management verifications are reported in the portal of the Interreg </w:t>
            </w:r>
            <w:r w:rsidR="00BB684F">
              <w:t>programmes</w:t>
            </w:r>
            <w:r>
              <w:t>. The control report integrated into the portal can only be consulted by a limited authorised group of users and can only be amended by the party carrying out the verifications. This report is signed electronically.</w:t>
            </w:r>
          </w:p>
          <w:p w14:paraId="587F1ECC" w14:textId="77777777" w:rsidR="00A7402B" w:rsidRDefault="00A7402B" w:rsidP="00A7402B">
            <w:pPr>
              <w:spacing w:after="0"/>
            </w:pPr>
          </w:p>
          <w:p w14:paraId="1FCD6488" w14:textId="77777777" w:rsidR="00A7402B" w:rsidRDefault="00A7402B" w:rsidP="00A7402B">
            <w:pPr>
              <w:spacing w:after="0"/>
            </w:pPr>
            <w:r>
              <w:rPr>
                <w:b/>
                <w:i/>
              </w:rPr>
              <w:t>Limitations of the report</w:t>
            </w:r>
          </w:p>
          <w:p w14:paraId="259688E1" w14:textId="77777777" w:rsidR="00A7402B" w:rsidRDefault="00A7402B" w:rsidP="00A7402B">
            <w:pPr>
              <w:spacing w:after="0"/>
            </w:pPr>
            <w:r>
              <w:t>The control report is not the opinion of an independent auditor within the meaning of the NBA’s auditing standards (NVCOS) because neither an audit, review or other assurance engagement or an assurance-related engagement within the meaning of these standards has been performed.</w:t>
            </w:r>
          </w:p>
          <w:p w14:paraId="1B0DE08E" w14:textId="77777777" w:rsidR="00A7402B" w:rsidRDefault="00A7402B" w:rsidP="00A7402B">
            <w:pPr>
              <w:spacing w:after="0"/>
            </w:pPr>
          </w:p>
          <w:p w14:paraId="7E6C5FA1" w14:textId="77777777" w:rsidR="00A7402B" w:rsidRDefault="00A7402B" w:rsidP="00A7402B">
            <w:pPr>
              <w:spacing w:after="0"/>
            </w:pPr>
            <w:r>
              <w:rPr>
                <w:b/>
                <w:i/>
              </w:rPr>
              <w:t>Use and dissemination of the report</w:t>
            </w:r>
          </w:p>
          <w:p w14:paraId="1E9D9E99" w14:textId="77777777" w:rsidR="00A7402B" w:rsidRDefault="00A7402B" w:rsidP="00A7402B">
            <w:pPr>
              <w:spacing w:after="0"/>
            </w:pPr>
            <w:r>
              <w:t>The sole purpose of the control report is to inform the project beneficiary, the managing authority, the audit authority and the audit bodies of the European Commission that the expenditure to be claimed under the programme complies with the requirements laid down in Article 74, paragraph 1, opening words and (a) of Regulation (EU) 2021/1060. The control report is an integral part of the programme portal and can be consulted only by the group of users mentioned above. Its distribution is therefore very limited.</w:t>
            </w:r>
          </w:p>
          <w:p w14:paraId="1FDA17D8" w14:textId="77777777" w:rsidR="00A7402B" w:rsidRDefault="00A7402B" w:rsidP="00A7402B">
            <w:pPr>
              <w:spacing w:after="0"/>
            </w:pPr>
          </w:p>
          <w:p w14:paraId="0CD17F28" w14:textId="77777777" w:rsidR="00A7402B" w:rsidRPr="006D6B3B" w:rsidRDefault="00A7402B" w:rsidP="00A7402B">
            <w:pPr>
              <w:spacing w:after="0"/>
              <w:rPr>
                <w:b/>
                <w:bCs/>
                <w:i/>
                <w:iCs/>
              </w:rPr>
            </w:pPr>
            <w:r>
              <w:rPr>
                <w:b/>
                <w:i/>
              </w:rPr>
              <w:t>Conformity with the NBA's VGBA</w:t>
            </w:r>
          </w:p>
          <w:p w14:paraId="5C07D229" w14:textId="77777777" w:rsidR="00A7402B" w:rsidRDefault="00A7402B" w:rsidP="00A7402B">
            <w:pPr>
              <w:pStyle w:val="Lijstalinea"/>
              <w:numPr>
                <w:ilvl w:val="0"/>
                <w:numId w:val="18"/>
              </w:numPr>
              <w:spacing w:after="0"/>
            </w:pPr>
            <w:r>
              <w:lastRenderedPageBreak/>
              <w:t xml:space="preserve">Given that the distribution of the control report is limited to a small, well-defined and protected group of users; </w:t>
            </w:r>
          </w:p>
          <w:p w14:paraId="33164450" w14:textId="77777777" w:rsidR="00A7402B" w:rsidRPr="00DA6723" w:rsidRDefault="00A7402B" w:rsidP="00A7402B">
            <w:pPr>
              <w:pStyle w:val="Lijstalinea"/>
              <w:numPr>
                <w:ilvl w:val="0"/>
                <w:numId w:val="18"/>
              </w:numPr>
              <w:spacing w:after="0"/>
            </w:pPr>
            <w:r>
              <w:t>that the users have been expressly informed by means of the RVO’s website and by the Interreg secretariats that the engagement is not an audit, review or other assurance engagement or an assurance-related engagement within the meaning of the NBA’s auditing standards (NVCOS);</w:t>
            </w:r>
            <w:r>
              <w:rPr>
                <w:i/>
              </w:rPr>
              <w:t xml:space="preserve"> </w:t>
            </w:r>
          </w:p>
          <w:p w14:paraId="78478D99" w14:textId="77777777" w:rsidR="00A7402B" w:rsidRDefault="00A7402B" w:rsidP="00A7402B">
            <w:pPr>
              <w:pStyle w:val="Lijstalinea"/>
              <w:numPr>
                <w:ilvl w:val="0"/>
                <w:numId w:val="18"/>
              </w:numPr>
              <w:spacing w:after="0"/>
            </w:pPr>
            <w:r>
              <w:t xml:space="preserve">and that the users have been expressly informed that the control report is not the audit opinion of an independent auditor; </w:t>
            </w:r>
          </w:p>
          <w:p w14:paraId="6C100CEF" w14:textId="77777777" w:rsidR="00A7402B" w:rsidRPr="006D6B3B" w:rsidRDefault="00A7402B" w:rsidP="00A7402B">
            <w:pPr>
              <w:pStyle w:val="Lijstalinea"/>
              <w:numPr>
                <w:ilvl w:val="0"/>
                <w:numId w:val="18"/>
              </w:numPr>
              <w:spacing w:after="0"/>
            </w:pPr>
            <w:r>
              <w:t>the accountant can carry out this verification engagement with due observance of and in accordance with the NBA’'s Rules on Professional Conduct and Practice for Accountants (VGBA).</w:t>
            </w:r>
          </w:p>
          <w:p w14:paraId="3ECD0B76" w14:textId="77777777" w:rsidR="00A7402B" w:rsidRPr="004213FB" w:rsidRDefault="00A7402B" w:rsidP="00A7402B">
            <w:pPr>
              <w:rPr>
                <w:rFonts w:ascii="Verdana" w:hAnsi="Verdana"/>
                <w:sz w:val="18"/>
                <w:szCs w:val="18"/>
              </w:rPr>
            </w:pPr>
          </w:p>
          <w:p w14:paraId="0B8E359C" w14:textId="77777777" w:rsidR="00427195" w:rsidRPr="00A7402B" w:rsidRDefault="00427195">
            <w:pPr>
              <w:pStyle w:val="Ondertitel"/>
            </w:pPr>
          </w:p>
        </w:tc>
      </w:tr>
      <w:bookmarkEnd w:id="1"/>
    </w:tbl>
    <w:p w14:paraId="6EF6AD11" w14:textId="77777777" w:rsidR="00427195" w:rsidRDefault="00427195">
      <w:pPr>
        <w:rPr>
          <w:szCs w:val="18"/>
        </w:rPr>
      </w:pPr>
    </w:p>
    <w:p w14:paraId="085A53EC" w14:textId="77777777" w:rsidR="0033285B" w:rsidRDefault="0033285B">
      <w:pPr>
        <w:rPr>
          <w:szCs w:val="18"/>
        </w:rPr>
      </w:pPr>
      <w:bookmarkStart w:id="6" w:name="bmBegin"/>
      <w:bookmarkEnd w:id="6"/>
    </w:p>
    <w:sectPr w:rsidR="0033285B" w:rsidSect="007E5988">
      <w:headerReference w:type="even" r:id="rId7"/>
      <w:headerReference w:type="default" r:id="rId8"/>
      <w:footerReference w:type="even" r:id="rId9"/>
      <w:footerReference w:type="default" r:id="rId10"/>
      <w:headerReference w:type="first" r:id="rId11"/>
      <w:footerReference w:type="first" r:id="rId12"/>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8A97" w14:textId="77777777" w:rsidR="00A7402B" w:rsidRDefault="00A7402B">
      <w:r>
        <w:separator/>
      </w:r>
    </w:p>
    <w:p w14:paraId="5BB99174" w14:textId="77777777" w:rsidR="00A7402B" w:rsidRDefault="00A7402B"/>
  </w:endnote>
  <w:endnote w:type="continuationSeparator" w:id="0">
    <w:p w14:paraId="28CBF309" w14:textId="77777777" w:rsidR="00A7402B" w:rsidRDefault="00A7402B">
      <w:r>
        <w:continuationSeparator/>
      </w:r>
    </w:p>
    <w:p w14:paraId="33375CBD" w14:textId="77777777" w:rsidR="00A7402B" w:rsidRDefault="00A74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9231" w14:textId="36067CCB" w:rsidR="00427195" w:rsidRDefault="00A7402B">
    <w:pPr>
      <w:pStyle w:val="Voettekst"/>
    </w:pPr>
    <w:r>
      <w:rPr>
        <w:noProof/>
        <w14:ligatures w14:val="none"/>
      </w:rPr>
      <mc:AlternateContent>
        <mc:Choice Requires="wps">
          <w:drawing>
            <wp:anchor distT="0" distB="0" distL="0" distR="0" simplePos="0" relativeHeight="251661312" behindDoc="0" locked="0" layoutInCell="1" allowOverlap="1" wp14:anchorId="31EE3DBB" wp14:editId="2C5DD81A">
              <wp:simplePos x="635" y="635"/>
              <wp:positionH relativeFrom="page">
                <wp:align>left</wp:align>
              </wp:positionH>
              <wp:positionV relativeFrom="page">
                <wp:align>bottom</wp:align>
              </wp:positionV>
              <wp:extent cx="443865" cy="443865"/>
              <wp:effectExtent l="0" t="0" r="8255" b="0"/>
              <wp:wrapNone/>
              <wp:docPr id="7" name="Tekstvak 7"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4FDCC" w14:textId="77F9535F" w:rsidR="00A7402B" w:rsidRPr="00A7402B" w:rsidRDefault="00A7402B" w:rsidP="00A7402B">
                          <w:pPr>
                            <w:spacing w:after="0"/>
                            <w:rPr>
                              <w:rFonts w:ascii="Calibri" w:eastAsia="Calibri" w:hAnsi="Calibri" w:cs="Calibri"/>
                              <w:noProof/>
                              <w:color w:val="000000"/>
                              <w:sz w:val="20"/>
                              <w:szCs w:val="20"/>
                            </w:rPr>
                          </w:pPr>
                          <w:r w:rsidRPr="00A7402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EE3DBB" id="_x0000_t202" coordsize="21600,21600" o:spt="202" path="m,l,21600r21600,l21600,xe">
              <v:stroke joinstyle="miter"/>
              <v:path gradientshapeok="t" o:connecttype="rect"/>
            </v:shapetype>
            <v:shape id="Tekstvak 7" o:spid="_x0000_s1026" type="#_x0000_t202" alt="Intern gebruik"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C34FDCC" w14:textId="77F9535F" w:rsidR="00A7402B" w:rsidRPr="00A7402B" w:rsidRDefault="00A7402B" w:rsidP="00A7402B">
                    <w:pPr>
                      <w:spacing w:after="0"/>
                      <w:rPr>
                        <w:rFonts w:ascii="Calibri" w:eastAsia="Calibri" w:hAnsi="Calibri" w:cs="Calibri"/>
                        <w:noProof/>
                        <w:color w:val="000000"/>
                        <w:sz w:val="20"/>
                        <w:szCs w:val="20"/>
                      </w:rPr>
                    </w:pPr>
                    <w:r w:rsidRPr="00A7402B">
                      <w:rPr>
                        <w:rFonts w:ascii="Calibri" w:eastAsia="Calibri" w:hAnsi="Calibri" w:cs="Calibri"/>
                        <w:noProof/>
                        <w:color w:val="000000"/>
                        <w:sz w:val="20"/>
                        <w:szCs w:val="20"/>
                      </w:rPr>
                      <w:t>Intern gebruik</w:t>
                    </w:r>
                  </w:p>
                </w:txbxContent>
              </v:textbox>
              <w10:wrap anchorx="page" anchory="page"/>
            </v:shape>
          </w:pict>
        </mc:Fallback>
      </mc:AlternateContent>
    </w:r>
  </w:p>
  <w:p w14:paraId="436D3A24"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141D41C0" w14:textId="77777777">
      <w:trPr>
        <w:trHeight w:hRule="exact" w:val="240"/>
      </w:trPr>
      <w:tc>
        <w:tcPr>
          <w:tcW w:w="7752" w:type="dxa"/>
        </w:tcPr>
        <w:p w14:paraId="505C56D6" w14:textId="77777777" w:rsidR="00427195" w:rsidRDefault="00427195">
          <w:pPr>
            <w:pStyle w:val="Huisstijl-Rubricering"/>
          </w:pPr>
          <w:r>
            <w:t>VERTROUWELIJK</w:t>
          </w:r>
        </w:p>
      </w:tc>
      <w:tc>
        <w:tcPr>
          <w:tcW w:w="2148" w:type="dxa"/>
        </w:tcPr>
        <w:p w14:paraId="017C2ED5"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BB684F">
            <w:fldChar w:fldCharType="begin"/>
          </w:r>
          <w:r w:rsidR="00BB684F">
            <w:instrText xml:space="preserve"> NUMPAGES   \* MERGEFORMAT </w:instrText>
          </w:r>
          <w:r w:rsidR="00BB684F">
            <w:fldChar w:fldCharType="separate"/>
          </w:r>
          <w:r>
            <w:t>1</w:t>
          </w:r>
          <w:r w:rsidR="00BB684F">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6D36" w14:textId="32771FA6" w:rsidR="00427195" w:rsidRDefault="00A7402B">
    <w:pPr>
      <w:pStyle w:val="Voettekst"/>
      <w:spacing w:line="240" w:lineRule="auto"/>
      <w:rPr>
        <w:sz w:val="2"/>
        <w:szCs w:val="2"/>
      </w:rPr>
    </w:pPr>
    <w:r>
      <w:rPr>
        <w:noProof/>
        <w:sz w:val="2"/>
        <w:szCs w:val="2"/>
        <w14:ligatures w14:val="none"/>
      </w:rPr>
      <mc:AlternateContent>
        <mc:Choice Requires="wps">
          <w:drawing>
            <wp:anchor distT="0" distB="0" distL="0" distR="0" simplePos="0" relativeHeight="251662336" behindDoc="0" locked="0" layoutInCell="1" allowOverlap="1" wp14:anchorId="1F05FE45" wp14:editId="58FD4C79">
              <wp:simplePos x="990600" y="9677400"/>
              <wp:positionH relativeFrom="page">
                <wp:align>left</wp:align>
              </wp:positionH>
              <wp:positionV relativeFrom="page">
                <wp:align>bottom</wp:align>
              </wp:positionV>
              <wp:extent cx="443865" cy="443865"/>
              <wp:effectExtent l="0" t="0" r="8255" b="0"/>
              <wp:wrapNone/>
              <wp:docPr id="8" name="Tekstvak 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7C85E" w14:textId="6F9E7B70" w:rsidR="00A7402B" w:rsidRPr="00A7402B" w:rsidRDefault="00A7402B" w:rsidP="00A7402B">
                          <w:pPr>
                            <w:spacing w:after="0"/>
                            <w:rPr>
                              <w:rFonts w:ascii="Calibri" w:eastAsia="Calibri" w:hAnsi="Calibri" w:cs="Calibri"/>
                              <w:noProof/>
                              <w:color w:val="000000"/>
                              <w:sz w:val="20"/>
                              <w:szCs w:val="20"/>
                            </w:rPr>
                          </w:pPr>
                          <w:r w:rsidRPr="00A7402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05FE45" id="_x0000_t202" coordsize="21600,21600" o:spt="202" path="m,l,21600r21600,l21600,xe">
              <v:stroke joinstyle="miter"/>
              <v:path gradientshapeok="t" o:connecttype="rect"/>
            </v:shapetype>
            <v:shape id="Tekstvak 8" o:spid="_x0000_s1027" type="#_x0000_t202" alt="Intern gebruik"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207C85E" w14:textId="6F9E7B70" w:rsidR="00A7402B" w:rsidRPr="00A7402B" w:rsidRDefault="00A7402B" w:rsidP="00A7402B">
                    <w:pPr>
                      <w:spacing w:after="0"/>
                      <w:rPr>
                        <w:rFonts w:ascii="Calibri" w:eastAsia="Calibri" w:hAnsi="Calibri" w:cs="Calibri"/>
                        <w:noProof/>
                        <w:color w:val="000000"/>
                        <w:sz w:val="20"/>
                        <w:szCs w:val="20"/>
                      </w:rPr>
                    </w:pPr>
                    <w:r w:rsidRPr="00A7402B">
                      <w:rPr>
                        <w:rFonts w:ascii="Calibri" w:eastAsia="Calibri" w:hAnsi="Calibri" w:cs="Calibri"/>
                        <w:noProof/>
                        <w:color w:val="000000"/>
                        <w:sz w:val="20"/>
                        <w:szCs w:val="20"/>
                      </w:rPr>
                      <w:t>Intern gebruik</w:t>
                    </w:r>
                  </w:p>
                </w:txbxContent>
              </v:textbox>
              <w10:wrap anchorx="page" anchory="page"/>
            </v:shape>
          </w:pict>
        </mc:Fallback>
      </mc:AlternateContent>
    </w:r>
    <w:r w:rsidR="00233298">
      <w:rPr>
        <w:noProof/>
        <w:sz w:val="2"/>
        <w:szCs w:val="2"/>
      </w:rPr>
      <mc:AlternateContent>
        <mc:Choice Requires="wps">
          <w:drawing>
            <wp:anchor distT="0" distB="0" distL="114300" distR="114300" simplePos="0" relativeHeight="251659264" behindDoc="0" locked="0" layoutInCell="1" allowOverlap="1" wp14:anchorId="1A86F357" wp14:editId="463215FD">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45"/>
                            <w:gridCol w:w="1448"/>
                          </w:tblGrid>
                          <w:tr w:rsidR="00427195" w14:paraId="25886429" w14:textId="77777777">
                            <w:tc>
                              <w:tcPr>
                                <w:tcW w:w="360" w:type="dxa"/>
                                <w:noWrap/>
                                <w:tcMar>
                                  <w:left w:w="0" w:type="dxa"/>
                                  <w:right w:w="57" w:type="dxa"/>
                                </w:tcMar>
                              </w:tcPr>
                              <w:p w14:paraId="066F6EC1" w14:textId="77777777" w:rsidR="00427195" w:rsidRDefault="00427195">
                                <w:pPr>
                                  <w:pStyle w:val="Huisstijl-Gegeven"/>
                                </w:pPr>
                                <w:bookmarkStart w:id="7" w:name="bmPag2" w:colFirst="0" w:colLast="0"/>
                                <w:bookmarkStart w:id="8" w:name="bmPagVan2" w:colFirst="2" w:colLast="2"/>
                              </w:p>
                            </w:tc>
                            <w:tc>
                              <w:tcPr>
                                <w:tcW w:w="113" w:type="dxa"/>
                                <w:noWrap/>
                                <w:tcMar>
                                  <w:left w:w="0" w:type="dxa"/>
                                  <w:right w:w="57" w:type="dxa"/>
                                </w:tcMar>
                              </w:tcPr>
                              <w:p w14:paraId="7BF89762"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p>
                            </w:tc>
                            <w:tc>
                              <w:tcPr>
                                <w:tcW w:w="180" w:type="dxa"/>
                                <w:noWrap/>
                                <w:tcMar>
                                  <w:left w:w="0" w:type="dxa"/>
                                  <w:right w:w="57" w:type="dxa"/>
                                </w:tcMar>
                              </w:tcPr>
                              <w:p w14:paraId="0AD4906D" w14:textId="77777777" w:rsidR="00427195" w:rsidRDefault="00427195">
                                <w:pPr>
                                  <w:pStyle w:val="Huisstijl-Gegeven"/>
                                </w:pPr>
                                <w:r>
                                  <w:t>van</w:t>
                                </w:r>
                              </w:p>
                            </w:tc>
                            <w:tc>
                              <w:tcPr>
                                <w:tcW w:w="1440" w:type="dxa"/>
                                <w:noWrap/>
                                <w:tcMar>
                                  <w:left w:w="0" w:type="dxa"/>
                                  <w:right w:w="57" w:type="dxa"/>
                                </w:tcMar>
                              </w:tcPr>
                              <w:p w14:paraId="17B568F6" w14:textId="77777777" w:rsidR="00427195" w:rsidRDefault="00BB684F">
                                <w:pPr>
                                  <w:pStyle w:val="Huisstijl-Gegeven"/>
                                </w:pPr>
                                <w:r>
                                  <w:fldChar w:fldCharType="begin"/>
                                </w:r>
                                <w:r>
                                  <w:instrText xml:space="preserve"> NUMPAGES   \* MERGEFORMAT </w:instrText>
                                </w:r>
                                <w:r>
                                  <w:fldChar w:fldCharType="separate"/>
                                </w:r>
                                <w:r w:rsidR="00427195">
                                  <w:t>1</w:t>
                                </w:r>
                                <w:r>
                                  <w:fldChar w:fldCharType="end"/>
                                </w:r>
                              </w:p>
                            </w:tc>
                          </w:tr>
                          <w:bookmarkEnd w:id="7"/>
                          <w:bookmarkEnd w:id="8"/>
                        </w:tbl>
                        <w:p w14:paraId="7C77349C" w14:textId="77777777" w:rsidR="00427195"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6F357" id="_x0000_t202" coordsize="21600,21600" o:spt="202" path="m,l,21600r21600,l21600,xe">
              <v:stroke joinstyle="miter"/>
              <v:path gradientshapeok="t" o:connecttype="rect"/>
            </v:shapetype>
            <v:shape id="Text Box 71" o:spid="_x0000_s1028"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" filled="f" stroked="f">
              <v:textbox inset="0,0">
                <w:txbxContent>
                  <w:tbl>
                    <w:tblPr>
                      <w:tblW w:w="0" w:type="auto"/>
                      <w:tblLook w:val="01E0" w:firstRow="1" w:lastRow="1" w:firstColumn="1" w:lastColumn="1" w:noHBand="0" w:noVBand="0"/>
                    </w:tblPr>
                    <w:tblGrid>
                      <w:gridCol w:w="368"/>
                      <w:gridCol w:w="140"/>
                      <w:gridCol w:w="245"/>
                      <w:gridCol w:w="1448"/>
                    </w:tblGrid>
                    <w:tr w:rsidR="00427195" w14:paraId="25886429" w14:textId="77777777">
                      <w:tc>
                        <w:tcPr>
                          <w:tcW w:w="360" w:type="dxa"/>
                          <w:noWrap/>
                          <w:tcMar>
                            <w:left w:w="0" w:type="dxa"/>
                            <w:right w:w="57" w:type="dxa"/>
                          </w:tcMar>
                        </w:tcPr>
                        <w:p w14:paraId="066F6EC1" w14:textId="77777777" w:rsidR="00427195" w:rsidRDefault="00427195">
                          <w:pPr>
                            <w:pStyle w:val="Huisstijl-Gegeven"/>
                          </w:pPr>
                          <w:bookmarkStart w:id="9" w:name="bmPag2" w:colFirst="0" w:colLast="0"/>
                          <w:bookmarkStart w:id="10" w:name="bmPagVan2" w:colFirst="2" w:colLast="2"/>
                        </w:p>
                      </w:tc>
                      <w:tc>
                        <w:tcPr>
                          <w:tcW w:w="113" w:type="dxa"/>
                          <w:noWrap/>
                          <w:tcMar>
                            <w:left w:w="0" w:type="dxa"/>
                            <w:right w:w="57" w:type="dxa"/>
                          </w:tcMar>
                        </w:tcPr>
                        <w:p w14:paraId="7BF89762"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p>
                      </w:tc>
                      <w:tc>
                        <w:tcPr>
                          <w:tcW w:w="180" w:type="dxa"/>
                          <w:noWrap/>
                          <w:tcMar>
                            <w:left w:w="0" w:type="dxa"/>
                            <w:right w:w="57" w:type="dxa"/>
                          </w:tcMar>
                        </w:tcPr>
                        <w:p w14:paraId="0AD4906D" w14:textId="77777777" w:rsidR="00427195" w:rsidRDefault="00427195">
                          <w:pPr>
                            <w:pStyle w:val="Huisstijl-Gegeven"/>
                          </w:pPr>
                          <w:r>
                            <w:t>van</w:t>
                          </w:r>
                        </w:p>
                      </w:tc>
                      <w:tc>
                        <w:tcPr>
                          <w:tcW w:w="1440" w:type="dxa"/>
                          <w:noWrap/>
                          <w:tcMar>
                            <w:left w:w="0" w:type="dxa"/>
                            <w:right w:w="57" w:type="dxa"/>
                          </w:tcMar>
                        </w:tcPr>
                        <w:p w14:paraId="17B568F6" w14:textId="77777777" w:rsidR="00427195" w:rsidRDefault="00BB684F">
                          <w:pPr>
                            <w:pStyle w:val="Huisstijl-Gegeven"/>
                          </w:pPr>
                          <w:r>
                            <w:fldChar w:fldCharType="begin"/>
                          </w:r>
                          <w:r>
                            <w:instrText xml:space="preserve"> NUMPAGES   \* MERGEFORMAT </w:instrText>
                          </w:r>
                          <w:r>
                            <w:fldChar w:fldCharType="separate"/>
                          </w:r>
                          <w:r w:rsidR="00427195">
                            <w:t>1</w:t>
                          </w:r>
                          <w:r>
                            <w:fldChar w:fldCharType="end"/>
                          </w:r>
                        </w:p>
                      </w:tc>
                    </w:tr>
                    <w:bookmarkEnd w:id="9"/>
                    <w:bookmarkEnd w:id="10"/>
                  </w:tbl>
                  <w:p w14:paraId="7C77349C" w14:textId="77777777" w:rsidR="00427195" w:rsidRDefault="00427195"/>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EB2D" w14:textId="0B8868A9" w:rsidR="00427195" w:rsidRDefault="00A7402B">
    <w:pPr>
      <w:pStyle w:val="Voettekst"/>
      <w:spacing w:line="240" w:lineRule="auto"/>
      <w:rPr>
        <w:szCs w:val="18"/>
      </w:rPr>
    </w:pPr>
    <w:r>
      <w:rPr>
        <w:noProof/>
        <w:szCs w:val="18"/>
        <w14:ligatures w14:val="none"/>
      </w:rPr>
      <mc:AlternateContent>
        <mc:Choice Requires="wps">
          <w:drawing>
            <wp:anchor distT="0" distB="0" distL="0" distR="0" simplePos="0" relativeHeight="251660288" behindDoc="0" locked="0" layoutInCell="1" allowOverlap="1" wp14:anchorId="0B23C32F" wp14:editId="10DE4146">
              <wp:simplePos x="990600" y="9515475"/>
              <wp:positionH relativeFrom="page">
                <wp:align>left</wp:align>
              </wp:positionH>
              <wp:positionV relativeFrom="page">
                <wp:align>bottom</wp:align>
              </wp:positionV>
              <wp:extent cx="443865" cy="443865"/>
              <wp:effectExtent l="0" t="0" r="825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CA9E65" w14:textId="4A2B8E10" w:rsidR="00A7402B" w:rsidRPr="00A7402B" w:rsidRDefault="00A7402B" w:rsidP="00A7402B">
                          <w:pPr>
                            <w:spacing w:after="0"/>
                            <w:rPr>
                              <w:rFonts w:ascii="Calibri" w:eastAsia="Calibri" w:hAnsi="Calibri" w:cs="Calibri"/>
                              <w:noProof/>
                              <w:color w:val="000000"/>
                              <w:sz w:val="20"/>
                              <w:szCs w:val="20"/>
                            </w:rPr>
                          </w:pPr>
                          <w:r w:rsidRPr="00A7402B">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23C32F" id="_x0000_t202" coordsize="21600,21600" o:spt="202" path="m,l,21600r21600,l21600,xe">
              <v:stroke joinstyle="miter"/>
              <v:path gradientshapeok="t" o:connecttype="rect"/>
            </v:shapetype>
            <v:shape id="Tekstvak 1" o:spid="_x0000_s1031"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ACA9E65" w14:textId="4A2B8E10" w:rsidR="00A7402B" w:rsidRPr="00A7402B" w:rsidRDefault="00A7402B" w:rsidP="00A7402B">
                    <w:pPr>
                      <w:spacing w:after="0"/>
                      <w:rPr>
                        <w:rFonts w:ascii="Calibri" w:eastAsia="Calibri" w:hAnsi="Calibri" w:cs="Calibri"/>
                        <w:noProof/>
                        <w:color w:val="000000"/>
                        <w:sz w:val="20"/>
                        <w:szCs w:val="20"/>
                      </w:rPr>
                    </w:pPr>
                    <w:r w:rsidRPr="00A7402B">
                      <w:rPr>
                        <w:rFonts w:ascii="Calibri" w:eastAsia="Calibri" w:hAnsi="Calibri" w:cs="Calibri"/>
                        <w:noProof/>
                        <w:color w:val="000000"/>
                        <w:sz w:val="20"/>
                        <w:szCs w:val="20"/>
                      </w:rPr>
                      <w:t>Intern gebruik</w:t>
                    </w:r>
                  </w:p>
                </w:txbxContent>
              </v:textbox>
              <w10:wrap anchorx="page" anchory="page"/>
            </v:shape>
          </w:pict>
        </mc:Fallback>
      </mc:AlternateContent>
    </w:r>
    <w:r w:rsidR="00233298">
      <w:rPr>
        <w:noProof/>
        <w:szCs w:val="18"/>
      </w:rPr>
      <mc:AlternateContent>
        <mc:Choice Requires="wps">
          <w:drawing>
            <wp:anchor distT="0" distB="0" distL="114300" distR="114300" simplePos="0" relativeHeight="251656192" behindDoc="0" locked="0" layoutInCell="1" allowOverlap="1" wp14:anchorId="47679F16" wp14:editId="6D4EE336">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16"/>
                            <w:gridCol w:w="1363"/>
                          </w:tblGrid>
                          <w:tr w:rsidR="00427195" w14:paraId="11B4B419" w14:textId="77777777">
                            <w:tc>
                              <w:tcPr>
                                <w:tcW w:w="368" w:type="dxa"/>
                                <w:noWrap/>
                                <w:tcMar>
                                  <w:left w:w="0" w:type="dxa"/>
                                  <w:right w:w="57" w:type="dxa"/>
                                </w:tcMar>
                              </w:tcPr>
                              <w:p w14:paraId="60A97621" w14:textId="77777777" w:rsidR="00427195" w:rsidRDefault="00427195">
                                <w:pPr>
                                  <w:pStyle w:val="Huisstijl-Gegeven"/>
                                </w:pPr>
                                <w:bookmarkStart w:id="15" w:name="bmPag" w:colFirst="0" w:colLast="0"/>
                                <w:bookmarkStart w:id="16" w:name="bmPagVan" w:colFirst="2" w:colLast="2"/>
                              </w:p>
                            </w:tc>
                            <w:tc>
                              <w:tcPr>
                                <w:tcW w:w="140" w:type="dxa"/>
                                <w:noWrap/>
                                <w:tcMar>
                                  <w:left w:w="0" w:type="dxa"/>
                                  <w:right w:w="57" w:type="dxa"/>
                                </w:tcMar>
                              </w:tcPr>
                              <w:p w14:paraId="6025BE48"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E672E">
                                  <w:rPr>
                                    <w:rStyle w:val="Huisstijl-GegevenCharChar"/>
                                  </w:rPr>
                                  <w:t>1</w:t>
                                </w:r>
                                <w:r>
                                  <w:rPr>
                                    <w:rStyle w:val="Huisstijl-GegevenCharChar"/>
                                  </w:rPr>
                                  <w:fldChar w:fldCharType="end"/>
                                </w:r>
                              </w:p>
                            </w:tc>
                            <w:tc>
                              <w:tcPr>
                                <w:tcW w:w="188" w:type="dxa"/>
                                <w:noWrap/>
                                <w:tcMar>
                                  <w:left w:w="0" w:type="dxa"/>
                                  <w:right w:w="28" w:type="dxa"/>
                                </w:tcMar>
                              </w:tcPr>
                              <w:p w14:paraId="2301B862" w14:textId="77777777" w:rsidR="00427195" w:rsidRDefault="00427195">
                                <w:pPr>
                                  <w:pStyle w:val="Huisstijl-Gegeven"/>
                                </w:pPr>
                                <w:r>
                                  <w:t>van</w:t>
                                </w:r>
                              </w:p>
                            </w:tc>
                            <w:tc>
                              <w:tcPr>
                                <w:tcW w:w="1355" w:type="dxa"/>
                                <w:noWrap/>
                                <w:tcMar>
                                  <w:left w:w="0" w:type="dxa"/>
                                  <w:right w:w="57" w:type="dxa"/>
                                </w:tcMar>
                              </w:tcPr>
                              <w:p w14:paraId="140B547B" w14:textId="77777777" w:rsidR="00427195" w:rsidRDefault="00725AB0">
                                <w:pPr>
                                  <w:pStyle w:val="Huisstijl-Gegeven"/>
                                </w:pPr>
                                <w:r>
                                  <w:fldChar w:fldCharType="begin"/>
                                </w:r>
                                <w:r>
                                  <w:instrText xml:space="preserve"> NUMPAGES  </w:instrText>
                                </w:r>
                                <w:r>
                                  <w:fldChar w:fldCharType="separate"/>
                                </w:r>
                                <w:r w:rsidR="002E672E">
                                  <w:t>1</w:t>
                                </w:r>
                                <w:r>
                                  <w:fldChar w:fldCharType="end"/>
                                </w:r>
                              </w:p>
                            </w:tc>
                          </w:tr>
                          <w:bookmarkEnd w:id="15"/>
                          <w:bookmarkEnd w:id="16"/>
                        </w:tbl>
                        <w:p w14:paraId="5C6DEC83" w14:textId="77777777" w:rsidR="00427195" w:rsidRDefault="00427195"/>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79F16" id="_x0000_t202" coordsize="21600,21600" o:spt="202" path="m,l,21600r21600,l21600,xe">
              <v:stroke joinstyle="miter"/>
              <v:path gradientshapeok="t" o:connecttype="rect"/>
            </v:shapetype>
            <v:shape id="Text Box 46" o:spid="_x0000_s1032"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HNUS+HlAQAApAMAAA4AAAAAAAAAAAAAAAAALgIAAGRycy9lMm9Eb2Mu&#10;eG1sUEsBAi0AFAAGAAgAAAAhABqMDEzkAAAADgEAAA8AAAAAAAAAAAAAAAAAPwQAAGRycy9kb3du&#10;cmV2LnhtbFBLBQYAAAAABAAEAPMAAABQBQAAAAA=&#10;" filled="f" stroked="f">
              <v:textbox inset="1mm,0">
                <w:txbxContent>
                  <w:tbl>
                    <w:tblPr>
                      <w:tblW w:w="0" w:type="auto"/>
                      <w:tblLook w:val="01E0" w:firstRow="1" w:lastRow="1" w:firstColumn="1" w:lastColumn="1" w:noHBand="0" w:noVBand="0"/>
                    </w:tblPr>
                    <w:tblGrid>
                      <w:gridCol w:w="376"/>
                      <w:gridCol w:w="148"/>
                      <w:gridCol w:w="216"/>
                      <w:gridCol w:w="1363"/>
                    </w:tblGrid>
                    <w:tr w:rsidR="00427195" w14:paraId="11B4B419" w14:textId="77777777">
                      <w:tc>
                        <w:tcPr>
                          <w:tcW w:w="368" w:type="dxa"/>
                          <w:noWrap/>
                          <w:tcMar>
                            <w:left w:w="0" w:type="dxa"/>
                            <w:right w:w="57" w:type="dxa"/>
                          </w:tcMar>
                        </w:tcPr>
                        <w:p w14:paraId="60A97621" w14:textId="77777777" w:rsidR="00427195" w:rsidRDefault="00427195">
                          <w:pPr>
                            <w:pStyle w:val="Huisstijl-Gegeven"/>
                          </w:pPr>
                          <w:bookmarkStart w:id="17" w:name="bmPag" w:colFirst="0" w:colLast="0"/>
                          <w:bookmarkStart w:id="18" w:name="bmPagVan" w:colFirst="2" w:colLast="2"/>
                        </w:p>
                      </w:tc>
                      <w:tc>
                        <w:tcPr>
                          <w:tcW w:w="140" w:type="dxa"/>
                          <w:noWrap/>
                          <w:tcMar>
                            <w:left w:w="0" w:type="dxa"/>
                            <w:right w:w="57" w:type="dxa"/>
                          </w:tcMar>
                        </w:tcPr>
                        <w:p w14:paraId="6025BE48" w14:textId="77777777" w:rsidR="00427195" w:rsidRDefault="00427195">
                          <w:pPr>
                            <w:pStyle w:val="Huisstijl-Gegeven"/>
                          </w:pP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E672E">
                            <w:rPr>
                              <w:rStyle w:val="Huisstijl-GegevenCharChar"/>
                            </w:rPr>
                            <w:t>1</w:t>
                          </w:r>
                          <w:r>
                            <w:rPr>
                              <w:rStyle w:val="Huisstijl-GegevenCharChar"/>
                            </w:rPr>
                            <w:fldChar w:fldCharType="end"/>
                          </w:r>
                        </w:p>
                      </w:tc>
                      <w:tc>
                        <w:tcPr>
                          <w:tcW w:w="188" w:type="dxa"/>
                          <w:noWrap/>
                          <w:tcMar>
                            <w:left w:w="0" w:type="dxa"/>
                            <w:right w:w="28" w:type="dxa"/>
                          </w:tcMar>
                        </w:tcPr>
                        <w:p w14:paraId="2301B862" w14:textId="77777777" w:rsidR="00427195" w:rsidRDefault="00427195">
                          <w:pPr>
                            <w:pStyle w:val="Huisstijl-Gegeven"/>
                          </w:pPr>
                          <w:r>
                            <w:t>van</w:t>
                          </w:r>
                        </w:p>
                      </w:tc>
                      <w:tc>
                        <w:tcPr>
                          <w:tcW w:w="1355" w:type="dxa"/>
                          <w:noWrap/>
                          <w:tcMar>
                            <w:left w:w="0" w:type="dxa"/>
                            <w:right w:w="57" w:type="dxa"/>
                          </w:tcMar>
                        </w:tcPr>
                        <w:p w14:paraId="140B547B" w14:textId="77777777" w:rsidR="00427195" w:rsidRDefault="00725AB0">
                          <w:pPr>
                            <w:pStyle w:val="Huisstijl-Gegeven"/>
                          </w:pPr>
                          <w:r>
                            <w:fldChar w:fldCharType="begin"/>
                          </w:r>
                          <w:r>
                            <w:instrText xml:space="preserve"> NUMPAGES  </w:instrText>
                          </w:r>
                          <w:r>
                            <w:fldChar w:fldCharType="separate"/>
                          </w:r>
                          <w:r w:rsidR="002E672E">
                            <w:t>1</w:t>
                          </w:r>
                          <w:r>
                            <w:fldChar w:fldCharType="end"/>
                          </w:r>
                        </w:p>
                      </w:tc>
                    </w:tr>
                    <w:bookmarkEnd w:id="17"/>
                    <w:bookmarkEnd w:id="18"/>
                  </w:tbl>
                  <w:p w14:paraId="5C6DEC83" w14:textId="77777777" w:rsidR="00427195"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4A32" w14:textId="77777777" w:rsidR="00A7402B" w:rsidRDefault="00A7402B">
      <w:r>
        <w:separator/>
      </w:r>
    </w:p>
    <w:p w14:paraId="4BF52240" w14:textId="77777777" w:rsidR="00A7402B" w:rsidRDefault="00A7402B"/>
  </w:footnote>
  <w:footnote w:type="continuationSeparator" w:id="0">
    <w:p w14:paraId="43BFB552" w14:textId="77777777" w:rsidR="00A7402B" w:rsidRDefault="00A7402B">
      <w:r>
        <w:continuationSeparator/>
      </w:r>
    </w:p>
    <w:p w14:paraId="2C9BD558" w14:textId="77777777" w:rsidR="00A7402B" w:rsidRDefault="00A74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F3B8" w14:textId="77777777" w:rsidR="00427195" w:rsidRDefault="00427195">
    <w:pPr>
      <w:pStyle w:val="Koptekst"/>
    </w:pPr>
  </w:p>
  <w:p w14:paraId="15E1AEBE"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877E" w14:textId="77777777" w:rsidR="00427195" w:rsidRDefault="00427195">
    <w:pPr>
      <w:spacing w:line="200" w:lineRule="exact"/>
    </w:pPr>
  </w:p>
  <w:p w14:paraId="0B86C8A4" w14:textId="77777777" w:rsidR="00427195"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39AD" w14:textId="77777777" w:rsidR="00427195" w:rsidRDefault="00427195">
    <w:pPr>
      <w:pStyle w:val="Koptekst"/>
    </w:pPr>
  </w:p>
  <w:p w14:paraId="33F094CA"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0A826C65" wp14:editId="48851E3B">
              <wp:simplePos x="0" y="0"/>
              <wp:positionH relativeFrom="page">
                <wp:posOffset>4050665</wp:posOffset>
              </wp:positionH>
              <wp:positionV relativeFrom="page">
                <wp:posOffset>-25400</wp:posOffset>
              </wp:positionV>
              <wp:extent cx="3568700" cy="1590675"/>
              <wp:effectExtent l="2540" t="3175" r="635" b="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14:paraId="5042C7C2" w14:textId="77777777">
                            <w:trPr>
                              <w:trHeight w:val="1787"/>
                            </w:trPr>
                            <w:tc>
                              <w:tcPr>
                                <w:tcW w:w="4788" w:type="dxa"/>
                                <w:tcBorders>
                                  <w:top w:val="nil"/>
                                  <w:left w:val="nil"/>
                                  <w:bottom w:val="nil"/>
                                  <w:right w:val="nil"/>
                                </w:tcBorders>
                              </w:tcPr>
                              <w:p w14:paraId="634B066F" w14:textId="77777777" w:rsidR="00427195" w:rsidRDefault="00427195">
                                <w:bookmarkStart w:id="11" w:name="bmLintregel1" w:colFirst="0" w:colLast="1"/>
                              </w:p>
                            </w:tc>
                          </w:tr>
                          <w:bookmarkEnd w:id="11"/>
                        </w:tbl>
                        <w:p w14:paraId="2CF64BD9" w14:textId="77777777" w:rsidR="00427195"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26C65" id="_x0000_t202" coordsize="21600,21600" o:spt="202" path="m,l,21600r21600,l21600,xe">
              <v:stroke joinstyle="miter"/>
              <v:path gradientshapeok="t" o:connecttype="rect"/>
            </v:shapetype>
            <v:shape id="Text Box 62" o:spid="_x0000_s1029"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14:paraId="5042C7C2" w14:textId="77777777">
                      <w:trPr>
                        <w:trHeight w:val="1787"/>
                      </w:trPr>
                      <w:tc>
                        <w:tcPr>
                          <w:tcW w:w="4788" w:type="dxa"/>
                          <w:tcBorders>
                            <w:top w:val="nil"/>
                            <w:left w:val="nil"/>
                            <w:bottom w:val="nil"/>
                            <w:right w:val="nil"/>
                          </w:tcBorders>
                        </w:tcPr>
                        <w:p w14:paraId="634B066F" w14:textId="77777777" w:rsidR="00427195" w:rsidRDefault="00427195">
                          <w:bookmarkStart w:id="12" w:name="bmLintregel1" w:colFirst="0" w:colLast="1"/>
                        </w:p>
                      </w:tc>
                    </w:tr>
                    <w:bookmarkEnd w:id="12"/>
                  </w:tbl>
                  <w:p w14:paraId="2CF64BD9" w14:textId="77777777" w:rsidR="00427195" w:rsidRDefault="00427195"/>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5E59879" wp14:editId="44172808">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14:paraId="286271CE" w14:textId="77777777">
                            <w:trPr>
                              <w:trHeight w:val="2140"/>
                            </w:trPr>
                            <w:tc>
                              <w:tcPr>
                                <w:tcW w:w="737" w:type="dxa"/>
                              </w:tcPr>
                              <w:p w14:paraId="4BC91E83" w14:textId="77777777" w:rsidR="00427195" w:rsidRDefault="00F60F4E">
                                <w:pPr>
                                  <w:spacing w:line="240" w:lineRule="auto"/>
                                </w:pPr>
                                <w:bookmarkStart w:id="13" w:name="bmRijksLogo" w:colFirst="0" w:colLast="0"/>
                                <w:r>
                                  <w:rPr>
                                    <w:noProof/>
                                  </w:rPr>
                                  <w:drawing>
                                    <wp:inline distT="0" distB="0" distL="0" distR="0" wp14:anchorId="4626EFCE" wp14:editId="5ECA8F37">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7DA46FD0" w14:textId="77777777" w:rsidR="00427195" w:rsidRDefault="00427195">
                                <w:pPr>
                                  <w:spacing w:line="240" w:lineRule="auto"/>
                                  <w:rPr>
                                    <w:rFonts w:ascii="Times New Roman" w:hAnsi="Times New Roman"/>
                                    <w:sz w:val="24"/>
                                  </w:rPr>
                                </w:pPr>
                              </w:p>
                            </w:tc>
                          </w:tr>
                          <w:bookmarkEnd w:id="13"/>
                        </w:tbl>
                        <w:p w14:paraId="63B4AD65" w14:textId="77777777" w:rsidR="00427195"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9879" id="Text Box 56" o:spid="_x0000_s1030"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427195" w14:paraId="286271CE" w14:textId="77777777">
                      <w:trPr>
                        <w:trHeight w:val="2140"/>
                      </w:trPr>
                      <w:tc>
                        <w:tcPr>
                          <w:tcW w:w="737" w:type="dxa"/>
                        </w:tcPr>
                        <w:p w14:paraId="4BC91E83" w14:textId="77777777" w:rsidR="00427195" w:rsidRDefault="00F60F4E">
                          <w:pPr>
                            <w:spacing w:line="240" w:lineRule="auto"/>
                          </w:pPr>
                          <w:bookmarkStart w:id="14" w:name="bmRijksLogo" w:colFirst="0" w:colLast="0"/>
                          <w:r>
                            <w:rPr>
                              <w:noProof/>
                            </w:rPr>
                            <w:drawing>
                              <wp:inline distT="0" distB="0" distL="0" distR="0" wp14:anchorId="4626EFCE" wp14:editId="5ECA8F37">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7DA46FD0" w14:textId="77777777" w:rsidR="00427195" w:rsidRDefault="00427195">
                          <w:pPr>
                            <w:spacing w:line="240" w:lineRule="auto"/>
                            <w:rPr>
                              <w:rFonts w:ascii="Times New Roman" w:hAnsi="Times New Roman"/>
                              <w:sz w:val="24"/>
                            </w:rPr>
                          </w:pPr>
                        </w:p>
                      </w:tc>
                    </w:tr>
                    <w:bookmarkEnd w:id="14"/>
                  </w:tbl>
                  <w:p w14:paraId="63B4AD65" w14:textId="77777777" w:rsidR="00427195"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AB7A09"/>
    <w:multiLevelType w:val="hybridMultilevel"/>
    <w:tmpl w:val="1890C88A"/>
    <w:lvl w:ilvl="0" w:tplc="2B4EAC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630805"/>
    <w:multiLevelType w:val="multilevel"/>
    <w:tmpl w:val="C6680ECA"/>
    <w:lvl w:ilvl="0">
      <w:start w:val="1"/>
      <w:numFmt w:val="decimal"/>
      <w:lvlText w:val="%1."/>
      <w:lvlJc w:val="left"/>
      <w:pPr>
        <w:ind w:left="587" w:hanging="360"/>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942E66"/>
    <w:multiLevelType w:val="multilevel"/>
    <w:tmpl w:val="8F623B92"/>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F506C8"/>
    <w:multiLevelType w:val="hybridMultilevel"/>
    <w:tmpl w:val="1A8E1554"/>
    <w:lvl w:ilvl="0" w:tplc="04130001">
      <w:start w:val="1"/>
      <w:numFmt w:val="bullet"/>
      <w:lvlText w:val=""/>
      <w:lvlJc w:val="left"/>
      <w:pPr>
        <w:ind w:left="720" w:hanging="360"/>
      </w:pPr>
      <w:rPr>
        <w:rFonts w:ascii="Symbol" w:hAnsi="Symbol" w:hint="default"/>
      </w:rPr>
    </w:lvl>
    <w:lvl w:ilvl="1" w:tplc="9FEA636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3969418">
    <w:abstractNumId w:val="11"/>
  </w:num>
  <w:num w:numId="2" w16cid:durableId="1888451853">
    <w:abstractNumId w:val="7"/>
  </w:num>
  <w:num w:numId="3" w16cid:durableId="355780">
    <w:abstractNumId w:val="6"/>
  </w:num>
  <w:num w:numId="4" w16cid:durableId="2087071880">
    <w:abstractNumId w:val="5"/>
  </w:num>
  <w:num w:numId="5" w16cid:durableId="30693190">
    <w:abstractNumId w:val="4"/>
  </w:num>
  <w:num w:numId="6" w16cid:durableId="1902935283">
    <w:abstractNumId w:val="8"/>
  </w:num>
  <w:num w:numId="7" w16cid:durableId="2078626049">
    <w:abstractNumId w:val="3"/>
  </w:num>
  <w:num w:numId="8" w16cid:durableId="921376985">
    <w:abstractNumId w:val="2"/>
  </w:num>
  <w:num w:numId="9" w16cid:durableId="1758015453">
    <w:abstractNumId w:val="1"/>
  </w:num>
  <w:num w:numId="10" w16cid:durableId="67193738">
    <w:abstractNumId w:val="0"/>
  </w:num>
  <w:num w:numId="11" w16cid:durableId="2028680285">
    <w:abstractNumId w:val="10"/>
  </w:num>
  <w:num w:numId="12" w16cid:durableId="556085229">
    <w:abstractNumId w:val="12"/>
  </w:num>
  <w:num w:numId="13" w16cid:durableId="1861427257">
    <w:abstractNumId w:val="16"/>
  </w:num>
  <w:num w:numId="14" w16cid:durableId="977076812">
    <w:abstractNumId w:val="13"/>
  </w:num>
  <w:num w:numId="15" w16cid:durableId="366368410">
    <w:abstractNumId w:val="14"/>
  </w:num>
  <w:num w:numId="16" w16cid:durableId="1301157610">
    <w:abstractNumId w:val="15"/>
  </w:num>
  <w:num w:numId="17" w16cid:durableId="1300920445">
    <w:abstractNumId w:val="17"/>
  </w:num>
  <w:num w:numId="18" w16cid:durableId="610086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2B"/>
    <w:rsid w:val="000339A2"/>
    <w:rsid w:val="00123ED3"/>
    <w:rsid w:val="00233298"/>
    <w:rsid w:val="002E672E"/>
    <w:rsid w:val="0033285B"/>
    <w:rsid w:val="003D50BE"/>
    <w:rsid w:val="003F1694"/>
    <w:rsid w:val="00427195"/>
    <w:rsid w:val="005D2FF2"/>
    <w:rsid w:val="00725AB0"/>
    <w:rsid w:val="007E5988"/>
    <w:rsid w:val="00A7402B"/>
    <w:rsid w:val="00B12AB9"/>
    <w:rsid w:val="00B215B1"/>
    <w:rsid w:val="00BB684F"/>
    <w:rsid w:val="00CC3864"/>
    <w:rsid w:val="00CD7FAE"/>
    <w:rsid w:val="00EE06F6"/>
    <w:rsid w:val="00F60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D8C4413"/>
  <w15:docId w15:val="{DB2D4350-BECA-4A27-A984-5F7373B5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7402B"/>
    <w:pPr>
      <w:spacing w:after="160" w:line="259" w:lineRule="auto"/>
    </w:pPr>
    <w:rPr>
      <w:rFonts w:asciiTheme="minorHAnsi" w:eastAsiaTheme="minorHAnsi" w:hAnsiTheme="minorHAnsi" w:cstheme="minorBidi"/>
      <w:kern w:val="2"/>
      <w:sz w:val="22"/>
      <w:szCs w:val="22"/>
      <w:lang w:val="en-GB" w:eastAsia="en-US"/>
      <w14:ligatures w14:val="standardContextual"/>
    </w:rPr>
  </w:style>
  <w:style w:type="paragraph" w:styleId="Kop1">
    <w:name w:val="heading 1"/>
    <w:basedOn w:val="Standaard"/>
    <w:next w:val="Standaard"/>
    <w:link w:val="Kop1Char"/>
    <w:uiPriority w:val="99"/>
    <w:qFormat/>
    <w:rsid w:val="00123ED3"/>
    <w:pPr>
      <w:keepNext/>
      <w:numPr>
        <w:numId w:val="16"/>
      </w:numPr>
      <w:spacing w:before="240" w:after="60"/>
      <w:ind w:left="360" w:hanging="360"/>
      <w:outlineLvl w:val="0"/>
    </w:pPr>
    <w:rPr>
      <w:rFonts w:cs="Arial"/>
      <w:b/>
      <w:bCs/>
      <w:color w:val="39870C"/>
      <w:kern w:val="32"/>
      <w:szCs w:val="32"/>
    </w:rPr>
  </w:style>
  <w:style w:type="paragraph" w:styleId="Kop2">
    <w:name w:val="heading 2"/>
    <w:basedOn w:val="Standaard"/>
    <w:next w:val="Standaard"/>
    <w:qFormat/>
    <w:pPr>
      <w:keepNext/>
      <w:numPr>
        <w:ilvl w:val="1"/>
        <w:numId w:val="15"/>
      </w:numPr>
      <w:spacing w:before="240" w:after="60"/>
      <w:outlineLvl w:val="1"/>
    </w:pPr>
    <w:rPr>
      <w:rFonts w:cs="Arial"/>
      <w:b/>
      <w:bCs/>
      <w:i/>
      <w:iCs/>
      <w:sz w:val="28"/>
      <w:szCs w:val="28"/>
    </w:rPr>
  </w:style>
  <w:style w:type="paragraph" w:styleId="Kop3">
    <w:name w:val="heading 3"/>
    <w:basedOn w:val="Standaard"/>
    <w:next w:val="Standaard"/>
    <w:qFormat/>
    <w:pPr>
      <w:keepNext/>
      <w:numPr>
        <w:ilvl w:val="2"/>
        <w:numId w:val="15"/>
      </w:numPr>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basedOn w:val="Standaardalinea-lettertype"/>
    <w:link w:val="Kop1"/>
    <w:uiPriority w:val="99"/>
    <w:rsid w:val="00123ED3"/>
    <w:rPr>
      <w:rFonts w:ascii="Verdana" w:hAnsi="Verdana" w:cs="Arial"/>
      <w:b/>
      <w:bCs/>
      <w:color w:val="39870C"/>
      <w:kern w:val="32"/>
      <w:sz w:val="18"/>
      <w:szCs w:val="32"/>
    </w:rPr>
  </w:style>
  <w:style w:type="paragraph" w:styleId="Lijstalinea">
    <w:name w:val="List Paragraph"/>
    <w:basedOn w:val="Standaard"/>
    <w:uiPriority w:val="34"/>
    <w:qFormat/>
    <w:rsid w:val="00A74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20RVO%20Academie%20Fac%20PM%20logo%20groe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RijksBlancoStaand RVO Academie Fac PM logo groen</Template>
  <TotalTime>6</TotalTime>
  <Pages>3</Pages>
  <Words>858</Words>
  <Characters>4861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Mulder, P. (Pamela)</dc:creator>
  <cp:lastModifiedBy>Mulder, P. (Pamela)</cp:lastModifiedBy>
  <cp:revision>2</cp:revision>
  <cp:lastPrinted>2009-05-11T11:10:00Z</cp:lastPrinted>
  <dcterms:created xsi:type="dcterms:W3CDTF">2024-05-29T09:15:00Z</dcterms:created>
  <dcterms:modified xsi:type="dcterms:W3CDTF">2024-05-30T07:23:00Z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1,7,8</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